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08cc06674de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18240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OBRTNIČKA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2.181.007,83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2.485.448,02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2.136.882,47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2.621.019,67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135.571,65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6.502,79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13.059,19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6.483,20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13.059,19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148.630,84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je nastao zbog primjene novog Pravilnika o proračunskom računovodstvu, odnosno ukidanjem podskupine 193- Kontinuirani rashodi budućih razdoblja, što je rezultiralo većim rashodima, odnosno značajnim iznosom manjka prihoda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Trošak je nastao zbog sufinanciranja udžbenika učenicima za školsku godinu 2025./2026.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49.912,05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118.367,12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237,2</w:t>
            </w:r>
          </w:p>
        </w:tc>
      </w:tr>
    </w:tbl>
    <w:p>
      <w:pPr>
        <w:spacing w:before="0" w:after="0"/>
      </w:pPr>
    </w:p>
    <w:p>
      <w:r>
        <w:t xml:space="preserve">U izveštajnom razdoblju ostvaren je manjak prihoda u iznosu od 135.571,65€ i manjak od nefinancijske imovine u iznosu od 13.059,19€. Preneseni višak prihoda iznosi 30.263,72€ pa je manjak prihoda za pokriće u sljedećem razdoblju 118.367,12€. Napravljena je obavezna korekcija za iznos primljenih kapitalnih pomoći i donacija za nabavu nefinancijske imovine (5.823,33€). Zbog usklađenosti imovine i vlastitih izvora napravljena je korekcija rezultata u iznosu od 0,06€. Zbog promjene metodologije priznavanja EU prihoda i rashoda u 2025. godini napravljena je i korekcija rezultata za 2024. godinu za iznos prenesenog viška (68.558,00€).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2.143.385,26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2.634.078,86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U obrascu su iskazani rashodi poslovanja i rashodi za nabavu nefinancijske imovine za redovno obrazovanje i obrazovanje odraslih. Isti podatak iskazan je na poziciji Y345 Obrasca: PR-RAS.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23.286,98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novom Pravilniku provedeni ispravak vrijednosti dugotrajne nefinancijske imovine evidentiran je preko osnovnog računa 915.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Iskazano je smanjenje u obujmu imovine od 1.586,84€  (sadašnja vrijednost imovine) nastale zbog isknjiženja udžbenika koja nisu više upotrebljiva. U računovodstvu su se vodila na osnovnom računu 02411-Knjige.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2.493,55€, a odnosi se na obveze (rashode) nastale tijekom 12. mjeseca s datumom dospijeća do 31. prosinca 2025. godine. Obveze nisu podmirene, jer ih nadležni proračun nije do kraja godine podmirio. Očekuje se plaćanje tijekom 1. mjeseca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510- Programi unije</w:t>
      </w:r>
    </w:p>
    <w:p>
      <w:r>
        <w:t xml:space="preserve">U 2025. godini završio je projekt Erasmus+ koji je započeo u 2024. godini. Zbog promjene u metodologiji priznavanja prihoda i rashoda EU tijekova višak prihoda nad rashodima koji je utvrđen na kraju 2024. godine je u 2025. godini preko korekcije rezultata i nakon završetka projekta priznat kao prihod tekuće godine na računu 63811 (68.558,00€). Kako je projekt završio u 2025. godini i nakon priznatog završnog izvješća uplata AMPEU-a u vrijednosti 20% projekta je evidentirana na prihodu (19.639,80€).</w:t>
      </w:r>
    </w:p>
    <w:p>
      <w:r>
        <w:t xml:space="preserve">Promet dugovne i potražne strane obračunatih prihoda poslovanja je jednak jer je projekt u tekućoj godini završio i priznato je završno izvješće.</w:t>
      </w:r>
    </w:p>
    <w:p>
      <w:r>
        <w:t xml:space="preserve">U 2025. godini odobren je od strane AMPEU-a novi Erasmus+ projekt čija je ukupna vrijednost evidentirana u izvanbilančnoj evidenciji. Uplata 80% vrijednosti projekta evidentirana je kao obveza za primljene predujmove. Za novi projekt nema obračunatih prihoda jer nije ni nastao rashod u tekućoj godini. Plaćen je predujam organizatoru mobilnosti čija se realizacija očekuje u veljači 2026. godine.</w:t>
      </w:r>
    </w:p>
    <w:p>
      <w:r>
        <w:t xml:space="preserve">Nacionalno sufinanciranje i 561- Europski socijalni fond</w:t>
      </w:r>
    </w:p>
    <w:p>
      <w:r>
        <w:t xml:space="preserve">Škola sudjeluje u projektu "Učimo zajedno VII" za financiranje rashoda zaposlenih pomoćnika u nastavi  te je u obvezi sastavljanja EU izvještaja.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ca2f0662d473c" /></Relationships>
</file>